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4F" w:rsidRPr="0060434F" w:rsidRDefault="0060434F" w:rsidP="0060434F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proofErr w:type="gramStart"/>
      <w:r w:rsidRPr="0060434F">
        <w:rPr>
          <w:rFonts w:ascii="Tahoma" w:eastAsia="Times New Roman" w:hAnsi="Tahoma" w:cs="Tahoma"/>
          <w:sz w:val="29"/>
          <w:szCs w:val="29"/>
          <w:lang w:eastAsia="ru-RU"/>
        </w:rPr>
        <w:t>РОССИЙСКАЯ</w:t>
      </w:r>
      <w:proofErr w:type="gramEnd"/>
      <w:r w:rsidRPr="0060434F">
        <w:rPr>
          <w:rFonts w:ascii="Tahoma" w:eastAsia="Times New Roman" w:hAnsi="Tahoma" w:cs="Tahoma"/>
          <w:sz w:val="29"/>
          <w:szCs w:val="29"/>
          <w:lang w:eastAsia="ru-RU"/>
        </w:rPr>
        <w:t xml:space="preserve"> ФЕДЕРАЦИЯФЕДЕРАЛЬНЫЙ ЗАКОНОБ ОБРАЗОВАНИИ В РОССИЙСКОЙ ФЕДЕРАЦИИ</w:t>
      </w:r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60434F">
        <w:rPr>
          <w:rFonts w:ascii="Tahoma" w:eastAsia="Times New Roman" w:hAnsi="Tahoma" w:cs="Tahoma"/>
          <w:sz w:val="19"/>
          <w:szCs w:val="19"/>
          <w:lang w:eastAsia="ru-RU"/>
        </w:rPr>
        <w:t>Принят</w:t>
      </w:r>
      <w:proofErr w:type="gramEnd"/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Государственной Думой</w:t>
      </w:r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21 декабря 2012 года</w:t>
      </w:r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Одобрен</w:t>
      </w:r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Советом Федерации</w:t>
      </w:r>
    </w:p>
    <w:p w:rsidR="0060434F" w:rsidRPr="0060434F" w:rsidRDefault="0060434F" w:rsidP="0060434F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26 декабря 2012 года</w:t>
      </w:r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(в ред. Федеральных законов от 07.05.2013 </w:t>
      </w:r>
      <w:hyperlink r:id="rId4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99-ФЗ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>,</w:t>
      </w:r>
      <w:proofErr w:type="gramEnd"/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от 07.06.2013 </w:t>
      </w:r>
      <w:hyperlink r:id="rId5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120-ФЗ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, от 02.07.2013 </w:t>
      </w:r>
      <w:hyperlink r:id="rId6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170-ФЗ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>,</w:t>
      </w:r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от 23.07.2013 </w:t>
      </w:r>
      <w:hyperlink r:id="rId7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203-ФЗ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, от 25.11.2013 </w:t>
      </w:r>
      <w:hyperlink r:id="rId8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317-ФЗ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>,</w:t>
      </w:r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от 03.02.2014 </w:t>
      </w:r>
      <w:hyperlink r:id="rId9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11-ФЗ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, от 03.02.2014 </w:t>
      </w:r>
      <w:hyperlink r:id="rId10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15-ФЗ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>,</w:t>
      </w:r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от 05.05.2014 </w:t>
      </w:r>
      <w:hyperlink r:id="rId11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N 84-ФЗ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60434F" w:rsidRPr="0060434F" w:rsidRDefault="0060434F" w:rsidP="0060434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60434F">
        <w:rPr>
          <w:rFonts w:ascii="Tahoma" w:eastAsia="Times New Roman" w:hAnsi="Tahoma" w:cs="Tahoma"/>
          <w:sz w:val="19"/>
          <w:szCs w:val="19"/>
          <w:lang w:eastAsia="ru-RU"/>
        </w:rPr>
        <w:t>(</w:t>
      </w:r>
      <w:proofErr w:type="gramStart"/>
      <w:r w:rsidRPr="0060434F">
        <w:rPr>
          <w:rFonts w:ascii="Tahoma" w:eastAsia="Times New Roman" w:hAnsi="Tahoma" w:cs="Tahoma"/>
          <w:sz w:val="19"/>
          <w:szCs w:val="19"/>
          <w:lang w:eastAsia="ru-RU"/>
        </w:rPr>
        <w:t>см</w:t>
      </w:r>
      <w:proofErr w:type="gramEnd"/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. </w:t>
      </w:r>
      <w:hyperlink r:id="rId12" w:history="1">
        <w:r w:rsidRPr="0060434F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Обзор</w:t>
        </w:r>
      </w:hyperlink>
      <w:r w:rsidRPr="0060434F">
        <w:rPr>
          <w:rFonts w:ascii="Tahoma" w:eastAsia="Times New Roman" w:hAnsi="Tahoma" w:cs="Tahoma"/>
          <w:sz w:val="19"/>
          <w:szCs w:val="19"/>
          <w:lang w:eastAsia="ru-RU"/>
        </w:rPr>
        <w:t xml:space="preserve"> изменений данного документа)</w:t>
      </w:r>
    </w:p>
    <w:p w:rsidR="0060434F" w:rsidRPr="0060434F" w:rsidRDefault="0060434F" w:rsidP="0060434F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60434F">
        <w:rPr>
          <w:rFonts w:ascii="Tahoma" w:eastAsia="Times New Roman" w:hAnsi="Tahoma" w:cs="Tahoma"/>
          <w:sz w:val="29"/>
          <w:szCs w:val="29"/>
          <w:lang w:eastAsia="ru-RU"/>
        </w:rPr>
        <w:t>Глава 1. ОБЩИЕ ПОЛОЖЕНИЯ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1.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регулирования настоящего Федерального закона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2.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понятия, используемые в настоящем Федеральном законе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Федерального закона применяются следующие основные понятия: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федеральные государственные требования - обязательные требования к минимуму содержания, структуре дополнительных </w:t>
      </w:r>
      <w:proofErr w:type="spell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условиям их реализации и срокам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профессиональное образование - вид образования, который направлен на приобретение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профессиональное обучение - вид образования, который направлен на приобретение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осваивающее образовательную программу;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образовательная деятельность - деятельность по реализации образовательных программ;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3.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государственной политики и правового регулирования отношений в сфере образования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признание приоритетности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характер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образованием, обеспечение прав педагогических работников, обучающихся, родителей </w:t>
      </w:r>
      <w:hyperlink r:id="rId13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обучающихся на участие в управлении образовательными организациями;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недопустимость ограничения или устранения конкуренции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4.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регулирование отношений в сфере образования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Отношения в сфере образования регулируются </w:t>
      </w:r>
      <w:hyperlink r:id="rId14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правового регулирования отношений в сфере образования являются: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и защита конституционного права граждан Российской Федерации на образование;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правовых гарантий для согласования интересов участников отношений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правового положения участников отношений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осуществляющих образовательную деятельность, применяется с учетом особенностей, установленных специальными федеральными </w:t>
      </w:r>
      <w:hyperlink r:id="rId15" w:tooltip="Ссылка на список документов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6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законами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о государственной службе.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Статья 5.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образование. Государственные гарантии реализации права на образование в Российской Федерации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Российской Федерации гарантируется право каждого человека на образование.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17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стандартами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Статья 6.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федеральных органов государственной власти в сфере образования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федеральных органов государственной власти в сфере образования относятся: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проведение единой государственной политики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утверждение федеральных государственных образовательных </w:t>
      </w:r>
      <w:hyperlink r:id="rId18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стандартов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установление федеральных государственных требований;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лицензирование образовательной деятельности: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организаций, осуществляющих образовательную деятельность по образовательным программам высшего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</w:t>
      </w:r>
      <w:hyperlink r:id="rId19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утверждается Правительством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государственная аккредитация образовательной деятельности организаций, осуществляющих образовательную деятельность и указанных в </w:t>
      </w:r>
      <w:hyperlink r:id="rId20" w:anchor="p12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государственный контроль (надзор) в сфере образования за деятельностью организаций, указанных в </w:t>
      </w:r>
      <w:hyperlink r:id="rId21" w:anchor="p12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 а также органов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субъектов Российской Федерации, осуществляющих государственное управление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обеспечение осуществления мониторинга в системе образования на федеральном уровне;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7.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2" w:anchor="p12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3" w:anchor="p12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закона);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24" w:anchor="p12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 части 1 статьи 6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закона);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подтверждение документов об образовании и (или) о квалификации.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осуществления переданных полномочий, за исключением полномочий, указанных в </w:t>
      </w:r>
      <w:hyperlink r:id="rId25" w:anchor="p178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10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субъекта Российской Федерации в соответствии с Бюджетным </w:t>
      </w:r>
      <w:hyperlink r:id="rId26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7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методики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Правительством Российской Федерации, исходя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28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05.05.2014 N 84-ФЗ)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в предыдущей </w:t>
      </w:r>
      <w:hyperlink r:id="rId29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установленном бюджетным </w:t>
      </w:r>
      <w:hyperlink r:id="rId30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у органов государственной власти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Федеральный </w:t>
      </w:r>
      <w:hyperlink r:id="rId31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осуществляющий функции по контролю и надзору в сфере образования: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r:id="rId32" w:anchor="p143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 части 1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информации (в том числе баз данных), необходимой для формирования и ведения федеральных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по вопросам контроля и надзора в сфере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имеет право до принятия нормативных правовых актов, указанных в </w:t>
      </w:r>
      <w:hyperlink r:id="rId33" w:anchor="p156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 части 6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расходованием средств на осуществление переданных полномочий осуществляется в пределах установленной компетенции федеральным </w:t>
      </w:r>
      <w:hyperlink r:id="rId34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органом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осуществляющим функции по контролю и надзору в финансово-бюджетной сфере, федеральным </w:t>
      </w:r>
      <w:hyperlink r:id="rId35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органом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осуществлением переданных полномочий и зачисляемой в бюджет субъекта Российской Федерации в соответствии с Бюджетным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8.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органов государственной власти субъектов Российской Федерации в сфере образования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органов государственной власти субъектов Российской Федерации в сфере образования относятся: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зданий и оплату коммунальных услуг), в соответствии с нормативами, указанными в </w:t>
      </w:r>
      <w:hyperlink r:id="rId37" w:anchor="p185" w:tooltip="Ссылка на текущий документ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организация предоставления среднего профессионального образования, включая обеспечение государственных гарантий реализации права на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общедоступного и бесплатного среднего профессионального образования;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38" w:tooltip="Ссылка на список документов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перечнем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организация предоставления психолого-педагогической, медицинской и социальной помощи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осуществление иных установленных настоящим Федеральным законом полномочий в сфере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  <w:proofErr w:type="gramEnd"/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Статья 9.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муниципальных районов и городских округов в сфере образования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39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стандартами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учет детей, подлежащих 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иных установленных настоящим Федеральным законом полномочий в сфере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</w:t>
      </w:r>
      <w:hyperlink r:id="rId40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05.05.2014 N 84-ФЗ)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в предыдущей </w:t>
      </w:r>
      <w:hyperlink r:id="rId41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редакции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60434F" w:rsidRPr="0060434F" w:rsidRDefault="0060434F" w:rsidP="006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2" w:history="1">
        <w:r w:rsidRPr="006043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http://www.consultant.ru/document/cons_doc_LAW_158523/</w:t>
        </w:r>
      </w:hyperlink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© </w:t>
      </w:r>
      <w:proofErr w:type="spellStart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60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1992-2014</w:t>
      </w:r>
    </w:p>
    <w:p w:rsidR="004C4632" w:rsidRPr="0060434F" w:rsidRDefault="004C4632" w:rsidP="006043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632" w:rsidRPr="0060434F" w:rsidSect="004C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4F"/>
    <w:rsid w:val="004C4632"/>
    <w:rsid w:val="0060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32"/>
  </w:style>
  <w:style w:type="paragraph" w:styleId="2">
    <w:name w:val="heading 2"/>
    <w:basedOn w:val="a"/>
    <w:link w:val="20"/>
    <w:uiPriority w:val="9"/>
    <w:qFormat/>
    <w:rsid w:val="0060434F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34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4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7065/?dst=101375" TargetMode="External"/><Relationship Id="rId13" Type="http://schemas.openxmlformats.org/officeDocument/2006/relationships/hyperlink" Target="http://www.consultant.ru/document/cons_doc_LAW_99661/?dst=100004" TargetMode="External"/><Relationship Id="rId18" Type="http://schemas.openxmlformats.org/officeDocument/2006/relationships/hyperlink" Target="http://www.consultant.ru/document/cons_doc_LAW_142304/" TargetMode="External"/><Relationship Id="rId26" Type="http://schemas.openxmlformats.org/officeDocument/2006/relationships/hyperlink" Target="http://www.consultant.ru/document/cons_doc_LAW_148998/" TargetMode="External"/><Relationship Id="rId39" Type="http://schemas.openxmlformats.org/officeDocument/2006/relationships/hyperlink" Target="http://www.consultant.ru/document/cons_doc_LAW_14230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8523/" TargetMode="External"/><Relationship Id="rId34" Type="http://schemas.openxmlformats.org/officeDocument/2006/relationships/hyperlink" Target="http://www.consultant.ru/document/cons_doc_LAW_158593/?dst=100026" TargetMode="External"/><Relationship Id="rId42" Type="http://schemas.openxmlformats.org/officeDocument/2006/relationships/hyperlink" Target="http://www.consultant.ru/document/cons_doc_LAW_158523/" TargetMode="External"/><Relationship Id="rId7" Type="http://schemas.openxmlformats.org/officeDocument/2006/relationships/hyperlink" Target="http://www.consultant.ru/document/cons_doc_LAW_156782/?dst=100110" TargetMode="External"/><Relationship Id="rId12" Type="http://schemas.openxmlformats.org/officeDocument/2006/relationships/hyperlink" Target="http://www.consultant.ru/document/cons_doc_LAW_146342/?dst=100011" TargetMode="External"/><Relationship Id="rId17" Type="http://schemas.openxmlformats.org/officeDocument/2006/relationships/hyperlink" Target="http://www.consultant.ru/document/cons_doc_LAW_142304/" TargetMode="External"/><Relationship Id="rId25" Type="http://schemas.openxmlformats.org/officeDocument/2006/relationships/hyperlink" Target="http://www.consultant.ru/document/cons_doc_LAW_158523/" TargetMode="External"/><Relationship Id="rId33" Type="http://schemas.openxmlformats.org/officeDocument/2006/relationships/hyperlink" Target="http://www.consultant.ru/document/cons_doc_LAW_158523/" TargetMode="External"/><Relationship Id="rId38" Type="http://schemas.openxmlformats.org/officeDocument/2006/relationships/hyperlink" Target="http://www.consultant.ru/document/cons_doc_LAW_1585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1253/?dst=100099" TargetMode="External"/><Relationship Id="rId20" Type="http://schemas.openxmlformats.org/officeDocument/2006/relationships/hyperlink" Target="http://www.consultant.ru/document/cons_doc_LAW_158523/" TargetMode="External"/><Relationship Id="rId29" Type="http://schemas.openxmlformats.org/officeDocument/2006/relationships/hyperlink" Target="http://www.consultant.ru/document/cons_doc_LAW_158429/?dst=100117" TargetMode="External"/><Relationship Id="rId41" Type="http://schemas.openxmlformats.org/officeDocument/2006/relationships/hyperlink" Target="http://www.consultant.ru/document/cons_doc_LAW_158429/?dst=10017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481/?dst=100045" TargetMode="External"/><Relationship Id="rId11" Type="http://schemas.openxmlformats.org/officeDocument/2006/relationships/hyperlink" Target="http://www.consultant.ru/document/cons_doc_LAW_162566/?dst=100066" TargetMode="External"/><Relationship Id="rId24" Type="http://schemas.openxmlformats.org/officeDocument/2006/relationships/hyperlink" Target="http://www.consultant.ru/document/cons_doc_LAW_158523/" TargetMode="External"/><Relationship Id="rId32" Type="http://schemas.openxmlformats.org/officeDocument/2006/relationships/hyperlink" Target="http://www.consultant.ru/document/cons_doc_LAW_158523/" TargetMode="External"/><Relationship Id="rId37" Type="http://schemas.openxmlformats.org/officeDocument/2006/relationships/hyperlink" Target="http://www.consultant.ru/document/cons_doc_LAW_158523/" TargetMode="External"/><Relationship Id="rId40" Type="http://schemas.openxmlformats.org/officeDocument/2006/relationships/hyperlink" Target="http://www.consultant.ru/document/cons_doc_LAW_162566/?dst=100068" TargetMode="External"/><Relationship Id="rId5" Type="http://schemas.openxmlformats.org/officeDocument/2006/relationships/hyperlink" Target="http://www.consultant.ru/document/cons_doc_LAW_147230/?dst=100056" TargetMode="External"/><Relationship Id="rId15" Type="http://schemas.openxmlformats.org/officeDocument/2006/relationships/hyperlink" Target="http://www.consultant.ru/document/cons_doc_LAW_158523/" TargetMode="External"/><Relationship Id="rId23" Type="http://schemas.openxmlformats.org/officeDocument/2006/relationships/hyperlink" Target="http://www.consultant.ru/document/cons_doc_LAW_158523/" TargetMode="External"/><Relationship Id="rId28" Type="http://schemas.openxmlformats.org/officeDocument/2006/relationships/hyperlink" Target="http://www.consultant.ru/document/cons_doc_LAW_162566/?dst=100067" TargetMode="External"/><Relationship Id="rId36" Type="http://schemas.openxmlformats.org/officeDocument/2006/relationships/hyperlink" Target="http://www.consultant.ru/document/cons_doc_LAW_148998/" TargetMode="External"/><Relationship Id="rId10" Type="http://schemas.openxmlformats.org/officeDocument/2006/relationships/hyperlink" Target="http://www.consultant.ru/document/cons_doc_LAW_158405/?dst=100320" TargetMode="External"/><Relationship Id="rId19" Type="http://schemas.openxmlformats.org/officeDocument/2006/relationships/hyperlink" Target="http://www.consultant.ru/document/cons_doc_LAW_146704/?dst=100010" TargetMode="External"/><Relationship Id="rId31" Type="http://schemas.openxmlformats.org/officeDocument/2006/relationships/hyperlink" Target="http://www.consultant.ru/document/cons_doc_LAW_157041/?dst=10001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/document/cons_doc_LAW_156900/?dst=100098" TargetMode="External"/><Relationship Id="rId9" Type="http://schemas.openxmlformats.org/officeDocument/2006/relationships/hyperlink" Target="http://www.consultant.ru/document/cons_doc_LAW_158412/?dst=100008" TargetMode="External"/><Relationship Id="rId14" Type="http://schemas.openxmlformats.org/officeDocument/2006/relationships/hyperlink" Target="http://www.consultant.ru/document/cons_doc_LAW_2875/?dst=100165" TargetMode="External"/><Relationship Id="rId22" Type="http://schemas.openxmlformats.org/officeDocument/2006/relationships/hyperlink" Target="http://www.consultant.ru/document/cons_doc_LAW_158523/" TargetMode="External"/><Relationship Id="rId27" Type="http://schemas.openxmlformats.org/officeDocument/2006/relationships/hyperlink" Target="http://www.consultant.ru/document/cons_doc_LAW_108893/?dst=100027" TargetMode="External"/><Relationship Id="rId30" Type="http://schemas.openxmlformats.org/officeDocument/2006/relationships/hyperlink" Target="http://www.consultant.ru/document/cons_doc_LAW_148998/?dst=3765" TargetMode="External"/><Relationship Id="rId35" Type="http://schemas.openxmlformats.org/officeDocument/2006/relationships/hyperlink" Target="http://www.consultant.ru/document/cons_doc_LAW_157041/?dst=10001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6760</Words>
  <Characters>38534</Characters>
  <Application>Microsoft Office Word</Application>
  <DocSecurity>0</DocSecurity>
  <Lines>321</Lines>
  <Paragraphs>90</Paragraphs>
  <ScaleCrop>false</ScaleCrop>
  <Company/>
  <LinksUpToDate>false</LinksUpToDate>
  <CharactersWithSpaces>45204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2014-06-16T18:39:00Z</dcterms:created>
  <dcterms:modified xsi:type="dcterms:W3CDTF">2014-06-16T18:45:00Z</dcterms:modified>
</cp:coreProperties>
</file>